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Noto Sans" w:hAnsi="Noto Sans"/>
          <w:b/>
          <w:color w:val="6E5A86"/>
          <w:sz w:val="18"/>
        </w:rPr>
        <w:t>THURSDAY 17 SEPTEMBER 2026  |  09.30–12.45</w:t>
      </w:r>
    </w:p>
    <w:p>
      <w:pPr>
        <w:spacing w:after="80"/>
      </w:pPr>
      <w:r>
        <w:rPr>
          <w:rFonts w:ascii="Noto Sans" w:hAnsi="Noto Sans"/>
          <w:b/>
          <w:color w:val="1C1B33"/>
          <w:sz w:val="44"/>
        </w:rPr>
        <w:t>Investigating Search</w:t>
      </w:r>
    </w:p>
    <w:p>
      <w:pPr>
        <w:spacing w:after="140"/>
      </w:pPr>
      <w:r>
        <w:rPr>
          <w:rFonts w:ascii="Noto Sans" w:hAnsi="Noto Sans"/>
          <w:b/>
          <w:color w:val="6E5A86"/>
          <w:sz w:val="23"/>
        </w:rPr>
        <w:t>What should search scholarship do at the moment of searching?</w:t>
      </w:r>
    </w:p>
    <w:p>
      <w:pPr>
        <w:spacing w:after="160"/>
      </w:pPr>
      <w:r>
        <w:rPr>
          <w:rFonts w:ascii="Noto Sans" w:hAnsi="Noto Sans"/>
          <w:b w:val="0"/>
          <w:sz w:val="19"/>
        </w:rPr>
        <w:t>We will try the browser extension, compare kinds of prompt and consider what the interface should do next.</w:t>
      </w:r>
    </w:p>
    <w:tbl>
      <w:tblPr>
        <w:tblW w:type="dxa" w:w="8390"/>
        <w:jc w:val="left"/>
        <w:tblLayout w:type="fixed"/>
        <w:tblLook w:firstColumn="1" w:firstRow="1" w:lastColumn="0" w:lastRow="0" w:noHBand="0" w:noVBand="1" w:val="04A0"/>
      </w:tblPr>
      <w:tblGrid>
        <w:gridCol w:w="1474"/>
        <w:gridCol w:w="6917"/>
      </w:tblGrid>
      <w:tr>
        <w:trPr>
          <w:tblHeader w:val="true"/>
        </w:trPr>
        <w:tc>
          <w:tcPr>
            <w:tcW w:type="dxa" w:w="147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17"/>
              </w:rPr>
              <w:t>Time</w:t>
            </w:r>
          </w:p>
        </w:tc>
        <w:tc>
          <w:tcPr>
            <w:tcW w:type="dxa" w:w="691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17"/>
              </w:rPr>
              <w:t>Session and activity</w:t>
            </w:r>
          </w:p>
        </w:tc>
      </w:tr>
      <w:tr>
        <w:trPr>
          <w:cantSplit w:val="true"/>
        </w:trPr>
        <w:tc>
          <w:tcPr>
            <w:tcW w:type="dxa" w:w="1474"/>
            <w:shd w:fill="FFFFFF"/>
            <w:tcBorders>
              <w:bottom w:val="single" w:sz="5" w:space="0" w:color="D8D0C1"/>
            </w:tcBorders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  <w:r>
              <w:rPr>
                <w:rFonts w:ascii="Noto Sans" w:hAnsi="Noto Sans"/>
                <w:b/>
                <w:color w:val="1C1B33"/>
                <w:sz w:val="17"/>
              </w:rPr>
              <w:t>09.30–09.45</w:t>
            </w:r>
          </w:p>
        </w:tc>
        <w:tc>
          <w:tcPr>
            <w:tcW w:type="dxa" w:w="6917"/>
            <w:shd w:fill="FFFFFF"/>
            <w:tcBorders>
              <w:bottom w:val="single" w:sz="5" w:space="0" w:color="D8D0C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Noto Sans" w:hAnsi="Noto Sans"/>
                <w:b/>
                <w:color w:val="6E5A86"/>
                <w:sz w:val="18"/>
              </w:rPr>
              <w:t xml:space="preserve">The project: </w:t>
            </w:r>
            <w:r>
              <w:rPr>
                <w:rFonts w:ascii="Noto Sans" w:hAnsi="Noto Sans"/>
                <w:color w:val="1C1B33"/>
                <w:sz w:val="18"/>
              </w:rPr>
              <w:t>Why Investigating Search exists and what the prototype is for.</w:t>
            </w:r>
          </w:p>
        </w:tc>
      </w:tr>
      <w:tr>
        <w:trPr>
          <w:cantSplit w:val="true"/>
        </w:trPr>
        <w:tc>
          <w:tcPr>
            <w:tcW w:type="dxa" w:w="1474"/>
            <w:shd w:fill="EEE7D8"/>
            <w:tcBorders>
              <w:bottom w:val="single" w:sz="5" w:space="0" w:color="D8D0C1"/>
            </w:tcBorders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  <w:r>
              <w:rPr>
                <w:rFonts w:ascii="Noto Sans" w:hAnsi="Noto Sans"/>
                <w:b/>
                <w:color w:val="1C1B33"/>
                <w:sz w:val="17"/>
              </w:rPr>
              <w:t>09.45–10.00</w:t>
            </w:r>
          </w:p>
        </w:tc>
        <w:tc>
          <w:tcPr>
            <w:tcW w:type="dxa" w:w="6917"/>
            <w:shd w:fill="EEE7D8"/>
            <w:tcBorders>
              <w:bottom w:val="single" w:sz="5" w:space="0" w:color="D8D0C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Noto Sans" w:hAnsi="Noto Sans"/>
                <w:b/>
                <w:color w:val="6E5A86"/>
                <w:sz w:val="18"/>
              </w:rPr>
              <w:t xml:space="preserve">How it works: </w:t>
            </w:r>
            <w:r>
              <w:rPr>
                <w:rFonts w:ascii="Noto Sans" w:hAnsi="Noto Sans"/>
                <w:color w:val="1C1B33"/>
                <w:sz w:val="18"/>
              </w:rPr>
              <w:t>Topic matching, prompt selection and installation in Chrome.</w:t>
            </w:r>
          </w:p>
        </w:tc>
      </w:tr>
      <w:tr>
        <w:trPr>
          <w:cantSplit w:val="true"/>
        </w:trPr>
        <w:tc>
          <w:tcPr>
            <w:tcW w:type="dxa" w:w="1474"/>
            <w:shd w:fill="FFFFFF"/>
            <w:tcBorders>
              <w:bottom w:val="single" w:sz="5" w:space="0" w:color="D8D0C1"/>
            </w:tcBorders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  <w:r>
              <w:rPr>
                <w:rFonts w:ascii="Noto Sans" w:hAnsi="Noto Sans"/>
                <w:b/>
                <w:color w:val="1C1B33"/>
                <w:sz w:val="17"/>
              </w:rPr>
              <w:t>10.00–10.15</w:t>
            </w:r>
          </w:p>
        </w:tc>
        <w:tc>
          <w:tcPr>
            <w:tcW w:type="dxa" w:w="6917"/>
            <w:shd w:fill="FFFFFF"/>
            <w:tcBorders>
              <w:bottom w:val="single" w:sz="5" w:space="0" w:color="D8D0C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Noto Sans" w:hAnsi="Noto Sans"/>
                <w:b/>
                <w:color w:val="6E5A86"/>
                <w:sz w:val="18"/>
              </w:rPr>
              <w:t xml:space="preserve">Try the interface: </w:t>
            </w:r>
            <w:r>
              <w:rPr>
                <w:rFonts w:ascii="Noto Sans" w:hAnsi="Noto Sans"/>
                <w:color w:val="1C1B33"/>
                <w:sz w:val="18"/>
              </w:rPr>
              <w:t>Four examples, then a search you are comfortable discussing.</w:t>
            </w:r>
          </w:p>
        </w:tc>
      </w:tr>
      <w:tr>
        <w:trPr>
          <w:cantSplit w:val="true"/>
        </w:trPr>
        <w:tc>
          <w:tcPr>
            <w:tcW w:type="dxa" w:w="1474"/>
            <w:shd w:fill="EEE7D8"/>
            <w:tcBorders>
              <w:bottom w:val="single" w:sz="5" w:space="0" w:color="D8D0C1"/>
            </w:tcBorders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  <w:r>
              <w:rPr>
                <w:rFonts w:ascii="Noto Sans" w:hAnsi="Noto Sans"/>
                <w:b/>
                <w:color w:val="1C1B33"/>
                <w:sz w:val="17"/>
              </w:rPr>
              <w:t>10.15–10.45</w:t>
            </w:r>
          </w:p>
        </w:tc>
        <w:tc>
          <w:tcPr>
            <w:tcW w:type="dxa" w:w="6917"/>
            <w:shd w:fill="EEE7D8"/>
            <w:tcBorders>
              <w:bottom w:val="single" w:sz="5" w:space="0" w:color="D8D0C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Noto Sans" w:hAnsi="Noto Sans"/>
                <w:b/>
                <w:color w:val="6E5A86"/>
                <w:sz w:val="18"/>
              </w:rPr>
              <w:t xml:space="preserve">Prompt category lab: </w:t>
            </w:r>
            <w:r>
              <w:rPr>
                <w:rFonts w:ascii="Noto Sans" w:hAnsi="Noto Sans"/>
                <w:color w:val="1C1B33"/>
                <w:sz w:val="18"/>
              </w:rPr>
              <w:t>Compare Mechanism, Activity, Critical question and Things to watch out for. Discuss how prompts should be chosen.</w:t>
            </w:r>
          </w:p>
        </w:tc>
      </w:tr>
      <w:tr>
        <w:trPr>
          <w:cantSplit w:val="true"/>
        </w:trPr>
        <w:tc>
          <w:tcPr>
            <w:tcW w:type="dxa" w:w="1474"/>
            <w:shd w:fill="FFFFFF"/>
            <w:tcBorders>
              <w:bottom w:val="single" w:sz="5" w:space="0" w:color="D8D0C1"/>
            </w:tcBorders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  <w:r>
              <w:rPr>
                <w:rFonts w:ascii="Noto Sans" w:hAnsi="Noto Sans"/>
                <w:b/>
                <w:color w:val="1C1B33"/>
                <w:sz w:val="17"/>
              </w:rPr>
              <w:t>10.45–11.00</w:t>
            </w:r>
          </w:p>
        </w:tc>
        <w:tc>
          <w:tcPr>
            <w:tcW w:type="dxa" w:w="6917"/>
            <w:shd w:fill="FFFFFF"/>
            <w:tcBorders>
              <w:bottom w:val="single" w:sz="5" w:space="0" w:color="D8D0C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Noto Sans" w:hAnsi="Noto Sans"/>
                <w:b/>
                <w:color w:val="6E5A86"/>
                <w:sz w:val="18"/>
              </w:rPr>
              <w:t xml:space="preserve">Break: </w:t>
            </w:r>
            <w:r>
              <w:rPr>
                <w:rFonts w:ascii="Noto Sans" w:hAnsi="Noto Sans"/>
                <w:color w:val="1C1B33"/>
                <w:sz w:val="18"/>
              </w:rPr>
              <w:t>Return at 11.00.</w:t>
            </w:r>
          </w:p>
        </w:tc>
      </w:tr>
      <w:tr>
        <w:trPr>
          <w:cantSplit w:val="true"/>
        </w:trPr>
        <w:tc>
          <w:tcPr>
            <w:tcW w:type="dxa" w:w="1474"/>
            <w:shd w:fill="EEE7D8"/>
            <w:tcBorders>
              <w:bottom w:val="single" w:sz="5" w:space="0" w:color="D8D0C1"/>
            </w:tcBorders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  <w:r>
              <w:rPr>
                <w:rFonts w:ascii="Noto Sans" w:hAnsi="Noto Sans"/>
                <w:b/>
                <w:color w:val="1C1B33"/>
                <w:sz w:val="17"/>
              </w:rPr>
              <w:t>11.00–11.45</w:t>
            </w:r>
          </w:p>
        </w:tc>
        <w:tc>
          <w:tcPr>
            <w:tcW w:type="dxa" w:w="6917"/>
            <w:shd w:fill="EEE7D8"/>
            <w:tcBorders>
              <w:bottom w:val="single" w:sz="5" w:space="0" w:color="D8D0C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Noto Sans" w:hAnsi="Noto Sans"/>
                <w:b/>
                <w:color w:val="6E5A86"/>
                <w:sz w:val="18"/>
              </w:rPr>
              <w:t xml:space="preserve">Build a table case: </w:t>
            </w:r>
            <w:r>
              <w:rPr>
                <w:rFonts w:ascii="Noto Sans" w:hAnsi="Noto Sans"/>
                <w:color w:val="1C1B33"/>
                <w:sz w:val="18"/>
              </w:rPr>
              <w:t>Draft two prompts, set a trigger and near miss, and exchange one challenge with another table.</w:t>
            </w:r>
          </w:p>
        </w:tc>
      </w:tr>
      <w:tr>
        <w:trPr>
          <w:cantSplit w:val="true"/>
        </w:trPr>
        <w:tc>
          <w:tcPr>
            <w:tcW w:type="dxa" w:w="1474"/>
            <w:shd w:fill="FFFFFF"/>
            <w:tcBorders>
              <w:bottom w:val="single" w:sz="5" w:space="0" w:color="D8D0C1"/>
            </w:tcBorders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  <w:r>
              <w:rPr>
                <w:rFonts w:ascii="Noto Sans" w:hAnsi="Noto Sans"/>
                <w:b/>
                <w:color w:val="1C1B33"/>
                <w:sz w:val="17"/>
              </w:rPr>
              <w:t>11.45–12.01</w:t>
            </w:r>
          </w:p>
        </w:tc>
        <w:tc>
          <w:tcPr>
            <w:tcW w:type="dxa" w:w="6917"/>
            <w:shd w:fill="FFFFFF"/>
            <w:tcBorders>
              <w:bottom w:val="single" w:sz="5" w:space="0" w:color="D8D0C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Noto Sans" w:hAnsi="Noto Sans"/>
                <w:b/>
                <w:color w:val="6E5A86"/>
                <w:sz w:val="18"/>
              </w:rPr>
              <w:t xml:space="preserve">Read and report: </w:t>
            </w:r>
            <w:r>
              <w:rPr>
                <w:rFonts w:ascii="Noto Sans" w:hAnsi="Noto Sans"/>
                <w:color w:val="1C1B33"/>
                <w:sz w:val="18"/>
              </w:rPr>
              <w:t>See the research viewer, read other tables’ work and report one decision and one unresolved question.</w:t>
            </w:r>
          </w:p>
        </w:tc>
      </w:tr>
      <w:tr>
        <w:trPr>
          <w:cantSplit w:val="true"/>
        </w:trPr>
        <w:tc>
          <w:tcPr>
            <w:tcW w:type="dxa" w:w="1474"/>
            <w:shd w:fill="EEE7D8"/>
            <w:tcBorders>
              <w:bottom w:val="single" w:sz="5" w:space="0" w:color="D8D0C1"/>
            </w:tcBorders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  <w:r>
              <w:rPr>
                <w:rFonts w:ascii="Noto Sans" w:hAnsi="Noto Sans"/>
                <w:b/>
                <w:color w:val="1C1B33"/>
                <w:sz w:val="17"/>
              </w:rPr>
              <w:t>12.01–12.25</w:t>
            </w:r>
          </w:p>
        </w:tc>
        <w:tc>
          <w:tcPr>
            <w:tcW w:type="dxa" w:w="6917"/>
            <w:shd w:fill="EEE7D8"/>
            <w:tcBorders>
              <w:bottom w:val="single" w:sz="5" w:space="0" w:color="D8D0C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Noto Sans" w:hAnsi="Noto Sans"/>
                <w:b/>
                <w:color w:val="6E5A86"/>
                <w:sz w:val="18"/>
              </w:rPr>
              <w:t xml:space="preserve">Design discussion: </w:t>
            </w:r>
            <w:r>
              <w:rPr>
                <w:rFonts w:ascii="Noto Sans" w:hAnsi="Noto Sans"/>
                <w:color w:val="1C1B33"/>
                <w:sz w:val="18"/>
              </w:rPr>
              <w:t>Consider readers, topics, selection rules, sources and evidence still needed.</w:t>
            </w:r>
          </w:p>
        </w:tc>
      </w:tr>
      <w:tr>
        <w:trPr>
          <w:cantSplit w:val="true"/>
        </w:trPr>
        <w:tc>
          <w:tcPr>
            <w:tcW w:type="dxa" w:w="1474"/>
            <w:shd w:fill="FFFFFF"/>
            <w:tcBorders>
              <w:bottom w:val="single" w:sz="5" w:space="0" w:color="D8D0C1"/>
            </w:tcBorders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  <w:r>
              <w:rPr>
                <w:rFonts w:ascii="Noto Sans" w:hAnsi="Noto Sans"/>
                <w:b/>
                <w:color w:val="1C1B33"/>
                <w:sz w:val="17"/>
              </w:rPr>
              <w:t>12.25–12.38</w:t>
            </w:r>
          </w:p>
        </w:tc>
        <w:tc>
          <w:tcPr>
            <w:tcW w:type="dxa" w:w="6917"/>
            <w:shd w:fill="FFFFFF"/>
            <w:tcBorders>
              <w:bottom w:val="single" w:sz="5" w:space="0" w:color="D8D0C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Noto Sans" w:hAnsi="Noto Sans"/>
                <w:b/>
                <w:color w:val="6E5A86"/>
                <w:sz w:val="18"/>
              </w:rPr>
              <w:t xml:space="preserve">Synthesis: </w:t>
            </w:r>
            <w:r>
              <w:rPr>
                <w:rFonts w:ascii="Noto Sans" w:hAnsi="Noto Sans"/>
                <w:color w:val="1C1B33"/>
                <w:sz w:val="18"/>
              </w:rPr>
              <w:t>Separate what to retain, revise, investigate or leave unresolved.</w:t>
            </w:r>
          </w:p>
        </w:tc>
      </w:tr>
      <w:tr>
        <w:trPr>
          <w:cantSplit w:val="true"/>
        </w:trPr>
        <w:tc>
          <w:tcPr>
            <w:tcW w:type="dxa" w:w="1474"/>
            <w:shd w:fill="EEE7D8"/>
            <w:tcBorders>
              <w:bottom w:val="single" w:sz="5" w:space="0" w:color="D8D0C1"/>
            </w:tcBorders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  <w:r>
              <w:rPr>
                <w:rFonts w:ascii="Noto Sans" w:hAnsi="Noto Sans"/>
                <w:b/>
                <w:color w:val="1C1B33"/>
                <w:sz w:val="17"/>
              </w:rPr>
              <w:t>12.38–12.45</w:t>
            </w:r>
          </w:p>
        </w:tc>
        <w:tc>
          <w:tcPr>
            <w:tcW w:type="dxa" w:w="6917"/>
            <w:shd w:fill="EEE7D8"/>
            <w:tcBorders>
              <w:bottom w:val="single" w:sz="5" w:space="0" w:color="D8D0C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Noto Sans" w:hAnsi="Noto Sans"/>
                <w:b/>
                <w:color w:val="6E5A86"/>
                <w:sz w:val="18"/>
              </w:rPr>
              <w:t xml:space="preserve">Close: </w:t>
            </w:r>
            <w:r>
              <w:rPr>
                <w:rFonts w:ascii="Noto Sans" w:hAnsi="Noto Sans"/>
                <w:color w:val="1C1B33"/>
                <w:sz w:val="18"/>
              </w:rPr>
              <w:t>Return to the opening question and choose what, if anything, to share.</w:t>
            </w:r>
          </w:p>
        </w:tc>
      </w:tr>
    </w:tbl>
    <w:p>
      <w:pPr>
        <w:spacing w:after="40"/>
      </w:pPr>
      <w:r>
        <w:rPr>
          <w:rFonts w:ascii="Noto Sans" w:hAnsi="Noto Sans"/>
          <w:b/>
          <w:color w:val="6E5A86"/>
          <w:sz w:val="19"/>
        </w:rPr>
        <w:t>Working digitally</w:t>
      </w:r>
    </w:p>
    <w:p>
      <w:pPr>
        <w:spacing w:after="0"/>
      </w:pPr>
      <w:r>
        <w:rPr>
          <w:rFonts w:ascii="Noto Sans" w:hAnsi="Noto Sans"/>
          <w:b w:val="0"/>
          <w:color w:val="625F68"/>
          <w:sz w:val="17"/>
        </w:rPr>
        <w:t>Bring a laptop with Chrome and a charger. Save a personal copy of the Word workbook; a fresh copy can hold your table’s decisions. Keep individual search notes separate. Participation is voluntary, and you choose what to share.</w:t>
      </w: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Noto Sans" w:hAnsi="Noto Sans"/>
      <w:color w:val="1C1B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 2026 Investigating Search workshop itinerary</dc:title>
  <dc:subject/>
  <dc:creator>Rosie Graham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